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jc w:val="center"/>
        <w:rPr>
          <w:sz w:val="22"/>
          <w:szCs w:val="22"/>
        </w:rPr>
      </w:pPr>
      <w:r>
        <w:rPr>
          <w:rFonts w:ascii="Arial" w:eastAsia="Arial" w:hAnsi="Arial" w:cs="Arial"/>
          <w:b/>
          <w:bCs/>
          <w:sz w:val="22"/>
          <w:szCs w:val="22"/>
        </w:rPr>
        <w:t>YOUR DRINKING WATER HAS BEEN TESTED AND IS SAFE TO DRINK.</w:t>
      </w:r>
    </w:p>
    <w:p>
      <w:pPr>
        <w:spacing w:before="0" w:after="0"/>
        <w:jc w:val="center"/>
        <w:rPr>
          <w:sz w:val="20"/>
          <w:szCs w:val="20"/>
        </w:rPr>
      </w:pPr>
      <w:r>
        <w:rPr>
          <w:rFonts w:ascii="Arial" w:eastAsia="Arial" w:hAnsi="Arial" w:cs="Arial"/>
          <w:b/>
          <w:bCs/>
          <w:sz w:val="20"/>
          <w:szCs w:val="20"/>
        </w:rPr>
        <w:t>However, we experienced a rapid mix failure so the City of Mansfield public water system did not meet treatment requirements.</w:t>
      </w:r>
    </w:p>
    <w:p>
      <w:pPr>
        <w:widowControl/>
        <w:spacing w:before="0" w:after="0"/>
        <w:jc w:val="center"/>
        <w:rPr>
          <w:rFonts w:ascii="Arial" w:eastAsia="Arial" w:hAnsi="Arial" w:cs="Arial"/>
          <w:sz w:val="20"/>
          <w:szCs w:val="20"/>
        </w:rPr>
      </w:pPr>
    </w:p>
    <w:p>
      <w:pPr>
        <w:widowControl/>
        <w:spacing w:before="0" w:after="0"/>
        <w:rPr>
          <w:sz w:val="20"/>
          <w:szCs w:val="20"/>
        </w:rPr>
      </w:pPr>
      <w:r>
        <w:rPr>
          <w:rFonts w:ascii="Arial" w:eastAsia="Arial" w:hAnsi="Arial" w:cs="Arial"/>
          <w:sz w:val="20"/>
          <w:szCs w:val="20"/>
        </w:rPr>
        <w:t>Rapid mix is an integral part of conventional surface water treatment and responsible for allowing contact time for pre-treatment chemicals.</w:t>
      </w:r>
    </w:p>
    <w:p>
      <w:pPr>
        <w:widowControl/>
        <w:spacing w:before="0" w:after="0"/>
        <w:rPr>
          <w:sz w:val="20"/>
          <w:szCs w:val="20"/>
        </w:rPr>
      </w:pPr>
      <w:r>
        <w:rPr>
          <w:rFonts w:ascii="Arial" w:eastAsia="Arial" w:hAnsi="Arial" w:cs="Arial"/>
          <w:sz w:val="20"/>
          <w:szCs w:val="20"/>
        </w:rPr>
        <w:t xml:space="preserve"> </w:t>
      </w:r>
    </w:p>
    <w:p>
      <w:pPr>
        <w:widowControl/>
        <w:spacing w:before="0" w:after="0"/>
        <w:rPr>
          <w:sz w:val="20"/>
          <w:szCs w:val="20"/>
        </w:rPr>
      </w:pPr>
      <w:r>
        <w:rPr>
          <w:rFonts w:ascii="Arial" w:eastAsia="Arial" w:hAnsi="Arial" w:cs="Arial"/>
          <w:sz w:val="20"/>
          <w:szCs w:val="20"/>
        </w:rPr>
        <w:t xml:space="preserve">On May 7, May 8, and May 9, 2025, we failed to provide adequate conventional surface water treatment when the rapid mix failed to operate properly. </w:t>
      </w:r>
    </w:p>
    <w:p>
      <w:pPr>
        <w:widowControl/>
        <w:spacing w:before="0" w:after="0"/>
        <w:rPr>
          <w:rFonts w:ascii="Arial" w:eastAsia="Arial" w:hAnsi="Arial" w:cs="Arial"/>
          <w:b/>
          <w:bCs/>
          <w:sz w:val="20"/>
          <w:szCs w:val="20"/>
        </w:rPr>
      </w:pPr>
    </w:p>
    <w:p>
      <w:pPr>
        <w:widowControl/>
        <w:spacing w:before="0" w:after="0"/>
        <w:rPr>
          <w:sz w:val="20"/>
          <w:szCs w:val="20"/>
        </w:rPr>
      </w:pPr>
      <w:r>
        <w:rPr>
          <w:rFonts w:ascii="Arial" w:eastAsia="Arial" w:hAnsi="Arial" w:cs="Arial"/>
          <w:b/>
          <w:bCs/>
          <w:sz w:val="20"/>
          <w:szCs w:val="20"/>
        </w:rPr>
        <w:t>What should I do?</w:t>
      </w:r>
    </w:p>
    <w:p>
      <w:pPr>
        <w:widowControl/>
        <w:numPr>
          <w:ilvl w:val="0"/>
          <w:numId w:val="1"/>
        </w:numPr>
        <w:pBdr>
          <w:left w:val="none" w:sz="0" w:space="8" w:color="auto"/>
        </w:pBdr>
        <w:spacing w:before="0"/>
        <w:ind w:left="1440" w:right="0" w:hanging="424"/>
        <w:jc w:val="left"/>
        <w:rPr>
          <w:sz w:val="20"/>
          <w:szCs w:val="20"/>
        </w:rPr>
      </w:pPr>
      <w:r>
        <w:rPr>
          <w:rFonts w:ascii="Arial" w:eastAsia="Arial" w:hAnsi="Arial" w:cs="Arial"/>
          <w:b/>
          <w:bCs/>
          <w:sz w:val="20"/>
          <w:szCs w:val="20"/>
        </w:rPr>
        <w:t xml:space="preserve">You </w:t>
      </w:r>
      <w:r>
        <w:rPr>
          <w:rFonts w:ascii="Arial" w:eastAsia="Arial" w:hAnsi="Arial" w:cs="Arial"/>
          <w:b/>
          <w:bCs/>
          <w:sz w:val="20"/>
          <w:szCs w:val="20"/>
          <w:u w:val="single"/>
        </w:rPr>
        <w:t>do not</w:t>
      </w:r>
      <w:r>
        <w:rPr>
          <w:rFonts w:ascii="Arial" w:eastAsia="Arial" w:hAnsi="Arial" w:cs="Arial"/>
          <w:b/>
          <w:bCs/>
          <w:sz w:val="20"/>
          <w:szCs w:val="20"/>
        </w:rPr>
        <w:t xml:space="preserve"> need to boil your water or take other corrective actions. </w:t>
      </w:r>
      <w:r>
        <w:rPr>
          <w:rFonts w:ascii="Arial" w:eastAsia="Arial" w:hAnsi="Arial" w:cs="Arial"/>
          <w:sz w:val="20"/>
          <w:szCs w:val="20"/>
        </w:rPr>
        <w:t xml:space="preserve">However, if you have specific health concerns, consult your doctor. </w:t>
      </w:r>
    </w:p>
    <w:p>
      <w:pPr>
        <w:widowControl/>
        <w:numPr>
          <w:ilvl w:val="0"/>
          <w:numId w:val="1"/>
        </w:numPr>
        <w:pBdr>
          <w:left w:val="none" w:sz="0" w:space="8" w:color="auto"/>
        </w:pBdr>
        <w:spacing w:after="0"/>
        <w:ind w:left="1440" w:right="0" w:hanging="424"/>
        <w:jc w:val="left"/>
        <w:rPr>
          <w:sz w:val="20"/>
          <w:szCs w:val="20"/>
        </w:rPr>
      </w:pPr>
      <w:r>
        <w:rPr>
          <w:rFonts w:ascii="Arial" w:eastAsia="Arial" w:hAnsi="Arial" w:cs="Arial"/>
          <w:sz w:val="20"/>
          <w:szCs w:val="20"/>
        </w:rPr>
        <w:t xml:space="preserve">People with severely compromised immune systems, infants, and some elderly people may be at increased risk. These people should seek advice about drinking water from their health care providers. </w:t>
      </w:r>
    </w:p>
    <w:p>
      <w:pPr>
        <w:widowControl/>
        <w:spacing w:before="0" w:after="0"/>
        <w:rPr>
          <w:rFonts w:ascii="Arial" w:eastAsia="Arial" w:hAnsi="Arial" w:cs="Arial"/>
          <w:sz w:val="20"/>
          <w:szCs w:val="20"/>
        </w:rPr>
      </w:pPr>
    </w:p>
    <w:p>
      <w:pPr>
        <w:widowControl/>
        <w:spacing w:before="0" w:after="0"/>
        <w:rPr>
          <w:sz w:val="20"/>
          <w:szCs w:val="20"/>
        </w:rPr>
      </w:pPr>
      <w:r>
        <w:rPr>
          <w:rFonts w:ascii="Arial" w:eastAsia="Arial" w:hAnsi="Arial" w:cs="Arial"/>
          <w:b/>
          <w:bCs/>
          <w:sz w:val="20"/>
          <w:szCs w:val="20"/>
        </w:rPr>
        <w:t>What does this mean?</w:t>
      </w:r>
    </w:p>
    <w:p>
      <w:pPr>
        <w:widowControl/>
        <w:numPr>
          <w:ilvl w:val="0"/>
          <w:numId w:val="2"/>
        </w:numPr>
        <w:pBdr>
          <w:left w:val="none" w:sz="0" w:space="8" w:color="auto"/>
        </w:pBdr>
        <w:spacing w:before="0"/>
        <w:ind w:left="720" w:right="0" w:hanging="424"/>
        <w:jc w:val="left"/>
        <w:rPr>
          <w:sz w:val="20"/>
          <w:szCs w:val="20"/>
        </w:rPr>
      </w:pPr>
      <w:r>
        <w:rPr>
          <w:rFonts w:ascii="Arial" w:eastAsia="Arial" w:hAnsi="Arial" w:cs="Arial"/>
          <w:sz w:val="20"/>
          <w:szCs w:val="20"/>
        </w:rPr>
        <w:t>This situation does not require that you take immediate action. If it had been, you would have been notified immediately.</w:t>
      </w:r>
    </w:p>
    <w:p>
      <w:pPr>
        <w:widowControl/>
        <w:numPr>
          <w:ilvl w:val="0"/>
          <w:numId w:val="2"/>
        </w:numPr>
        <w:pBdr>
          <w:left w:val="none" w:sz="0" w:space="8" w:color="auto"/>
        </w:pBdr>
        <w:ind w:left="720" w:right="0" w:hanging="424"/>
        <w:jc w:val="left"/>
        <w:rPr>
          <w:sz w:val="20"/>
          <w:szCs w:val="20"/>
        </w:rPr>
      </w:pPr>
      <w:r>
        <w:rPr>
          <w:rFonts w:ascii="Arial" w:eastAsia="Arial" w:hAnsi="Arial" w:cs="Arial"/>
          <w:i/>
          <w:iCs/>
          <w:sz w:val="20"/>
          <w:szCs w:val="20"/>
        </w:rPr>
        <w:t>Inadequately treated water may contain disease-causing organisms. These organisms include bacteria, viruses, and parasites which can cause symptoms such as nausea, cramps, diarrhea, and associated headaches.</w:t>
      </w:r>
    </w:p>
    <w:p>
      <w:pPr>
        <w:widowControl/>
        <w:numPr>
          <w:ilvl w:val="0"/>
          <w:numId w:val="2"/>
        </w:numPr>
        <w:pBdr>
          <w:left w:val="none" w:sz="0" w:space="8" w:color="auto"/>
        </w:pBdr>
        <w:spacing w:after="0"/>
        <w:ind w:left="720" w:right="0" w:hanging="424"/>
        <w:jc w:val="left"/>
        <w:rPr>
          <w:sz w:val="20"/>
          <w:szCs w:val="20"/>
        </w:rPr>
      </w:pPr>
      <w:r>
        <w:rPr>
          <w:rFonts w:ascii="Arial" w:eastAsia="Arial" w:hAnsi="Arial" w:cs="Arial"/>
          <w:sz w:val="20"/>
          <w:szCs w:val="20"/>
        </w:rPr>
        <w:t xml:space="preserve">These symptoms, however, are not caused only by organisms in drinking water, but also by other factors. If you experience any of these symptoms and they persist, you may want to seek medical advice. </w:t>
      </w:r>
    </w:p>
    <w:p>
      <w:pPr>
        <w:widowControl/>
        <w:spacing w:before="0" w:after="0"/>
        <w:rPr>
          <w:rFonts w:ascii="Arial" w:eastAsia="Arial" w:hAnsi="Arial" w:cs="Arial"/>
          <w:b/>
          <w:bCs/>
          <w:sz w:val="20"/>
          <w:szCs w:val="20"/>
        </w:rPr>
      </w:pPr>
    </w:p>
    <w:p>
      <w:pPr>
        <w:widowControl/>
        <w:spacing w:before="0" w:after="0"/>
        <w:rPr>
          <w:sz w:val="20"/>
          <w:szCs w:val="20"/>
        </w:rPr>
      </w:pPr>
      <w:r>
        <w:rPr>
          <w:rFonts w:ascii="Arial" w:eastAsia="Arial" w:hAnsi="Arial" w:cs="Arial"/>
          <w:b/>
          <w:bCs/>
          <w:sz w:val="20"/>
          <w:szCs w:val="20"/>
        </w:rPr>
        <w:t xml:space="preserve">What happened? What is being done? </w:t>
      </w:r>
    </w:p>
    <w:p>
      <w:pPr>
        <w:widowControl/>
        <w:spacing w:before="0" w:after="0"/>
        <w:rPr>
          <w:rFonts w:ascii="Arial" w:eastAsia="Arial" w:hAnsi="Arial" w:cs="Arial"/>
          <w:sz w:val="20"/>
          <w:szCs w:val="20"/>
        </w:rPr>
      </w:pPr>
      <w:r>
        <w:rPr>
          <w:rFonts w:ascii="Arial" w:eastAsia="Arial" w:hAnsi="Arial" w:cs="Arial"/>
          <w:sz w:val="20"/>
          <w:szCs w:val="20"/>
        </w:rPr>
        <w:t>We did not have a rapid mix before installation this year. Our rapid mix did not run for a day, but did not harm our drinking water. We have investigated and taken the necessary steps to correct this issue.</w:t>
      </w:r>
      <w:r>
        <w:rPr>
          <w:sz w:val="20"/>
          <w:szCs w:val="20"/>
        </w:rPr>
        <w:br/>
      </w:r>
    </w:p>
    <w:p>
      <w:pPr>
        <w:spacing w:before="0" w:after="0"/>
        <w:rPr>
          <w:sz w:val="20"/>
          <w:szCs w:val="20"/>
        </w:rPr>
      </w:pPr>
      <w:r>
        <w:rPr>
          <w:rFonts w:ascii="Arial" w:eastAsia="Arial" w:hAnsi="Arial" w:cs="Arial"/>
          <w:sz w:val="20"/>
          <w:szCs w:val="20"/>
        </w:rPr>
        <w:t>For more information, please contact Leon E. Bursley Jr. at (419) 884 – 3310 or 2010 Lexington Springmill Road South, Mansfield, Ohio 44904.</w:t>
      </w:r>
    </w:p>
    <w:p>
      <w:pPr>
        <w:widowControl/>
        <w:spacing w:before="0" w:after="0"/>
        <w:rPr>
          <w:rFonts w:ascii="Arial" w:eastAsia="Arial" w:hAnsi="Arial" w:cs="Arial"/>
          <w:sz w:val="20"/>
          <w:szCs w:val="20"/>
        </w:rPr>
      </w:pPr>
    </w:p>
    <w:p>
      <w:pPr>
        <w:widowControl/>
        <w:spacing w:before="0" w:after="0"/>
        <w:rPr>
          <w:sz w:val="20"/>
          <w:szCs w:val="20"/>
        </w:rPr>
      </w:pPr>
      <w:r>
        <w:rPr>
          <w:rFonts w:ascii="Arial" w:eastAsia="Arial" w:hAnsi="Arial" w:cs="Arial"/>
          <w:sz w:val="20"/>
          <w:szCs w:val="20"/>
        </w:rPr>
        <w:t xml:space="preserve">General guidelines on ways to lessen the risk of infection by microbes are available from the EPA Safe Drinking Water Hotline at 1(800) 426-4791. </w:t>
      </w:r>
    </w:p>
    <w:p>
      <w:pPr>
        <w:widowControl/>
        <w:spacing w:before="0" w:after="0"/>
        <w:rPr>
          <w:rFonts w:ascii="Arial" w:eastAsia="Arial" w:hAnsi="Arial" w:cs="Arial"/>
          <w:sz w:val="20"/>
          <w:szCs w:val="20"/>
        </w:rPr>
      </w:pPr>
    </w:p>
    <w:p>
      <w:pPr>
        <w:widowControl/>
        <w:spacing w:before="0" w:after="0"/>
        <w:ind w:firstLine="720"/>
        <w:rPr>
          <w:sz w:val="20"/>
          <w:szCs w:val="20"/>
        </w:rPr>
      </w:pPr>
      <w:r>
        <w:rPr>
          <w:rFonts w:ascii="Arial" w:eastAsia="Arial" w:hAnsi="Arial" w:cs="Arial"/>
          <w:i/>
          <w:iCs/>
          <w:sz w:val="20"/>
          <w:szCs w:val="20"/>
        </w:rPr>
        <w:t>Please share this information with all the other people who drink this water, especially those who</w:t>
      </w:r>
    </w:p>
    <w:p>
      <w:pPr>
        <w:widowControl/>
        <w:spacing w:before="0" w:after="0"/>
        <w:ind w:firstLine="720"/>
        <w:rPr>
          <w:sz w:val="20"/>
          <w:szCs w:val="20"/>
        </w:rPr>
      </w:pPr>
      <w:r>
        <w:rPr>
          <w:rFonts w:ascii="Arial" w:eastAsia="Arial" w:hAnsi="Arial" w:cs="Arial"/>
          <w:i/>
          <w:iCs/>
          <w:sz w:val="20"/>
          <w:szCs w:val="20"/>
        </w:rPr>
        <w:t>may not have received this notice directly (for example, people in apartments, nursing homes,</w:t>
      </w:r>
    </w:p>
    <w:p>
      <w:pPr>
        <w:widowControl/>
        <w:spacing w:before="0" w:after="0"/>
        <w:ind w:firstLine="720"/>
        <w:rPr>
          <w:sz w:val="20"/>
          <w:szCs w:val="20"/>
        </w:rPr>
      </w:pPr>
      <w:r>
        <w:rPr>
          <w:rFonts w:ascii="Arial" w:eastAsia="Arial" w:hAnsi="Arial" w:cs="Arial"/>
          <w:i/>
          <w:iCs/>
          <w:sz w:val="20"/>
          <w:szCs w:val="20"/>
        </w:rPr>
        <w:t>schools and businesses). You can do this by posting this notice in a public place or distributing</w:t>
      </w:r>
    </w:p>
    <w:p>
      <w:pPr>
        <w:widowControl/>
        <w:spacing w:before="0" w:after="0"/>
        <w:ind w:firstLine="720"/>
        <w:rPr>
          <w:sz w:val="20"/>
          <w:szCs w:val="20"/>
        </w:rPr>
      </w:pPr>
      <w:r>
        <w:rPr>
          <w:rFonts w:ascii="Arial" w:eastAsia="Arial" w:hAnsi="Arial" w:cs="Arial"/>
          <w:i/>
          <w:iCs/>
          <w:sz w:val="20"/>
          <w:szCs w:val="20"/>
        </w:rPr>
        <w:t xml:space="preserve">copies by hand or mail. </w:t>
      </w:r>
    </w:p>
    <w:p>
      <w:pPr>
        <w:spacing w:before="0" w:after="0"/>
        <w:rPr>
          <w:rFonts w:ascii="Arial" w:eastAsia="Arial" w:hAnsi="Arial" w:cs="Arial"/>
          <w:sz w:val="20"/>
          <w:szCs w:val="20"/>
        </w:rPr>
      </w:pPr>
    </w:p>
    <w:p>
      <w:pPr>
        <w:spacing w:before="0" w:after="0"/>
        <w:rPr>
          <w:sz w:val="20"/>
          <w:szCs w:val="20"/>
        </w:rPr>
      </w:pPr>
      <w:r>
        <w:rPr>
          <w:rFonts w:ascii="Arial" w:eastAsia="Arial" w:hAnsi="Arial" w:cs="Arial"/>
          <w:sz w:val="20"/>
          <w:szCs w:val="20"/>
        </w:rPr>
        <w:t>PWSID#: OH7002914</w:t>
      </w:r>
    </w:p>
    <w:p>
      <w:pPr>
        <w:spacing w:before="0" w:after="0"/>
        <w:rPr>
          <w:rFonts w:ascii="Arial" w:eastAsia="Arial" w:hAnsi="Arial" w:cs="Arial"/>
          <w:sz w:val="20"/>
          <w:szCs w:val="20"/>
        </w:rPr>
      </w:pPr>
    </w:p>
    <w:p>
      <w:pPr>
        <w:spacing w:before="0" w:after="0"/>
        <w:rPr>
          <w:rFonts w:ascii="Arial" w:eastAsia="Arial" w:hAnsi="Arial" w:cs="Arial"/>
          <w:sz w:val="20"/>
          <w:szCs w:val="20"/>
        </w:rPr>
      </w:pPr>
      <w:r>
        <w:rPr>
          <w:rFonts w:ascii="Arial" w:eastAsia="Arial" w:hAnsi="Arial" w:cs="Arial"/>
          <w:sz w:val="20"/>
          <w:szCs w:val="20"/>
        </w:rPr>
        <w:t>Date distributed: 06/12/2025</w:t>
      </w:r>
      <w:r>
        <w:rPr>
          <w:rFonts w:ascii="Arial" w:eastAsia="Arial" w:hAnsi="Arial" w:cs="Arial"/>
          <w:sz w:val="20"/>
          <w:szCs w:val="20"/>
        </w:rPr>
        <w:tab/>
      </w:r>
      <w:r>
        <w:rPr>
          <w:rFonts w:ascii="Arial" w:eastAsia="Arial" w:hAnsi="Arial" w:cs="Arial"/>
          <w:sz w:val="20"/>
          <w:szCs w:val="20"/>
        </w:rPr>
        <w:t>This notice will also be in your next round of utility billing.</w:t>
      </w:r>
    </w:p>
    <w:p>
      <w:pPr>
        <w:spacing w:before="0" w:after="0"/>
        <w:rPr>
          <w:rFonts w:ascii="Arial" w:eastAsia="Arial" w:hAnsi="Arial" w:cs="Arial"/>
          <w:sz w:val="20"/>
          <w:szCs w:val="20"/>
        </w:rPr>
      </w:pPr>
    </w:p>
    <w:p>
      <w:pPr>
        <w:spacing w:before="0" w:after="0"/>
        <w:rPr>
          <w:sz w:val="20"/>
          <w:szCs w:val="20"/>
        </w:rPr>
      </w:pPr>
      <w:r>
        <w:rPr>
          <w:rFonts w:ascii="Arial" w:eastAsia="Arial" w:hAnsi="Arial" w:cs="Arial"/>
          <w:sz w:val="20"/>
          <w:szCs w:val="20"/>
        </w:rPr>
        <w:t>Tier 2: SWTR Notice - Inadequate Treatment (Treatment Technique)</w:t>
      </w:r>
    </w:p>
    <w:sectPr>
      <w:type w:val="nextPage"/>
      <w:pgSz w:w="12240" w:h="15840"/>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